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
          <w:snapToGrid w:val="0"/>
          <w:color w:val="auto"/>
          <w:kern w:val="0"/>
          <w:sz w:val="36"/>
          <w:szCs w:val="36"/>
        </w:rPr>
      </w:pPr>
      <w:r>
        <w:rPr>
          <w:rFonts w:hint="eastAsia" w:ascii="黑体" w:hAnsi="黑体" w:eastAsia="黑体" w:cs="黑体"/>
          <w:b/>
          <w:snapToGrid w:val="0"/>
          <w:color w:val="auto"/>
          <w:kern w:val="0"/>
          <w:sz w:val="36"/>
          <w:szCs w:val="36"/>
        </w:rPr>
        <w:t>附件1</w:t>
      </w:r>
    </w:p>
    <w:p>
      <w:pPr>
        <w:spacing w:line="560" w:lineRule="exact"/>
        <w:rPr>
          <w:rFonts w:hint="eastAsia" w:ascii="仿宋_GB2312" w:hAnsi="仿宋_GB2312" w:eastAsia="仿宋_GB2312" w:cs="仿宋_GB2312"/>
          <w:b/>
          <w:snapToGrid w:val="0"/>
          <w:color w:val="auto"/>
          <w:kern w:val="0"/>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snapToGrid w:val="0"/>
          <w:color w:val="auto"/>
          <w:kern w:val="0"/>
          <w:sz w:val="44"/>
          <w:szCs w:val="44"/>
        </w:rPr>
      </w:pPr>
      <w:r>
        <w:rPr>
          <w:rFonts w:hint="eastAsia" w:ascii="方正小标宋简体" w:hAnsi="方正小标宋简体" w:eastAsia="方正小标宋简体" w:cs="方正小标宋简体"/>
          <w:b/>
          <w:snapToGrid w:val="0"/>
          <w:color w:val="auto"/>
          <w:kern w:val="0"/>
          <w:sz w:val="44"/>
          <w:szCs w:val="44"/>
        </w:rPr>
        <w:t>第</w:t>
      </w:r>
      <w:r>
        <w:rPr>
          <w:rFonts w:hint="eastAsia" w:ascii="方正小标宋简体" w:hAnsi="方正小标宋简体" w:eastAsia="方正小标宋简体" w:cs="方正小标宋简体"/>
          <w:b/>
          <w:snapToGrid w:val="0"/>
          <w:color w:val="auto"/>
          <w:kern w:val="0"/>
          <w:sz w:val="44"/>
          <w:szCs w:val="44"/>
          <w:lang w:eastAsia="zh-CN"/>
        </w:rPr>
        <w:t>十二</w:t>
      </w:r>
      <w:r>
        <w:rPr>
          <w:rFonts w:hint="eastAsia" w:ascii="方正小标宋简体" w:hAnsi="方正小标宋简体" w:eastAsia="方正小标宋简体" w:cs="方正小标宋简体"/>
          <w:b/>
          <w:snapToGrid w:val="0"/>
          <w:color w:val="auto"/>
          <w:kern w:val="0"/>
          <w:sz w:val="44"/>
          <w:szCs w:val="44"/>
        </w:rPr>
        <w:t>届“调研德州”活动参考课题</w:t>
      </w:r>
    </w:p>
    <w:p>
      <w:pPr>
        <w:spacing w:line="560" w:lineRule="exact"/>
        <w:rPr>
          <w:rFonts w:hint="eastAsia" w:ascii="仿宋_GB2312" w:hAnsi="仿宋_GB2312" w:eastAsia="仿宋_GB2312" w:cs="仿宋_GB2312"/>
          <w:color w:val="auto"/>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我市发展新质生产力问题与对策研究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我市落实政治生态建设“四责协同”机制，一体化推进全面从严治党和激励干事创业问题与对策研究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3、我市健全党建“跨村联建”工作机制，做实党员联培、人才联育、活动联办、要事联商、工作联推“五联”机制问题及研究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4、我市党纪党规执行中存在的问题与对策研究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5、我市贯彻习近平文化思想，推进文化事业繁荣发展问题与对策研究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6、关于提升我市新型政党制度效能问题与对策研究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7、我市持续深化黄河重大战略专项监督和护航优化营商环境专项行动问题与对策研究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8、我市融入京津冀国家战略，在引进大项目上实现新突破问题与对策研究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9、我市推动京杭大运河生态补水、南运河生态廊道、生态储备林等重大工程问题与对策研究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10、我市高标准建设“两河牵手”8个重要节点及沿线综合廊道、塑造国家文化公园德州品牌问题与对策研究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11、我市瞄准高端化、智能化、绿色化、集群化方向加速突破，加快壮大支柱产业问题与对策研究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12、我市开展新一轮技改升级行动，持续实施“千企技改、千企转型”问题与对策研究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13、我市探索“政府+链主+园区”推进模式，力争新培育一批省级以上产业集群问题与对策研究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14、我市聚焦人形机器人、大模型、元宇宙、生命科学等领域，实施未来产业培育发展行动问题与对策研究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15、我市大力发展数字消费、绿色消费、健康消费，积极培育智能家居、文娱旅游等新的消费增长点问题与对策研究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16、我市争创省级直播电商基地、电商供应链基地、电商产业带问题与对策研究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17、我市加快发展银发经济、托育服务，加快培育旅居养老、健康养老、家庭托育等新业态问题与对策研究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18、我市加快发展“Z时代”经济，培育开发动漫、电竞、潮流商场、演艺秀等消费热点问题与对策研究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19、我市加快推动数字农业、数字文旅、数字金融等数字化转型问题与对策研究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20、我市加快建成全国重要的集成电路关键材料基地，积极争创国家级中小企业特色产业集群问题与对策研究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21、我市县市区打造一批数字经济特色园区、特色楼宇，谋划推进“一县一数字经济园区”问题与对策研究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22、我市实施市场主体梯次培育行动，新培育一批省级以上创新型中小企业、专精特新企业、单项冠军企业问题与对策研究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23、我市优化营商环境，开展服务企业发展“十千百万”工程问题与对策研究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24、我市全力打造中国北方对接东盟支点城市问题与对策研究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25、我市实施企业家素质提升工程问题与对策研究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26、我市推动整市域高标准农田建设国家试点问题与对策研究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27、我市聚焦食品名市建设，大力招引食品加工企业问题与对策研究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28、我市充分挖掘德州扒鸡、乐陵小枣、夏津桑黄、调味品、德州黑驴及手工艺品等特色资源，培育一批乡村特色产业产值10亿级强镇问题与对策研究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29、我市加快赛事经济，推动特色体育名城建设问题与对策研究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30、我市引导龙头企业、社会资本盘活资源，增加集体收入，带动农民增收问题与对策研究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31、我市实施能人回引工程，赋能乡村建设问题与对策研究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32、我市各县市区培育特色产业集群问题与对策研究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33、我市壮大培育中小微企业特色专业园区、县域特色专业园区问题与对策研究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34、我市加快构建新型能源体系问题与对策研究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35、我市新型农业经营主体培育发展问题与对策研究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36、我市农村寄递物流体系建设问题与对策研究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37、我市健全重大经营决策合规审查制度问题与对策研究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38、我市开展“百企下南洋、百企进中亚”问题与对策研究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39、我市实施跨境电商培育计划，搭建跨境电商综合服务平台问题与对策研究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40、我市引导社会力量扶危济困问题与对策研究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41、我市“回应群众关切、提升基层治理效能”问题与对策研究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42、我市基层减负工作存在的问题与对策研究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43、我市全面加强基层依法治理工作问题与对策研究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44、我市提质义务教育集团化办学，补齐城乡教育均衡短板问题与对策研究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45、关于加强我市校园及周边安全问题与对策研究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46、我市构建覆盖城乡的家庭教育指导服务体系研究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47、我市儿童友好城市建设实践路径及对策研究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48、我市加强农村书屋、城市书房建设，广泛开展文化惠民活动问题与对策研究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49、我市持续打造“山东手造德州有礼”品牌，力争“一县一品牌”问题与对策研究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50、我市深化“两心”融合、双向赋能，创新推动城市社区建设问题与对策研究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51、我市提高舆情发现力、研判力、处置力，切实防范舆情风险问题与对策研究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52、我市打造大运河文化体验中心的实践路径与对策研究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napToGrid w:val="0"/>
          <w:kern w:val="0"/>
          <w:sz w:val="32"/>
          <w:szCs w:val="32"/>
          <w:lang w:val="en-US" w:eastAsia="zh-CN"/>
        </w:rPr>
      </w:pPr>
      <w:r>
        <w:rPr>
          <w:rFonts w:hint="eastAsia" w:ascii="仿宋_GB2312" w:hAnsi="仿宋_GB2312" w:eastAsia="仿宋_GB2312" w:cs="仿宋_GB2312"/>
          <w:b/>
          <w:snapToGrid w:val="0"/>
          <w:kern w:val="0"/>
          <w:sz w:val="32"/>
          <w:szCs w:val="32"/>
          <w:lang w:val="en-US" w:eastAsia="zh-CN"/>
        </w:rPr>
        <w:t>53、董仲舒“大一统”思想与铸牢中华民族共同体意识研究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FED10A"/>
    <w:multiLevelType w:val="singleLevel"/>
    <w:tmpl w:val="57FED10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3YjYyMjY5NzAxYTZmNmE3YmViOGZhODJmM2QwN2QifQ=="/>
  </w:docVars>
  <w:rsids>
    <w:rsidRoot w:val="00000000"/>
    <w:rsid w:val="2BFC0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2024-04-24T01:39:04Z</dcterms:created>
  <dc:creator>ASUS</dc:creator>
  <cp:lastModifiedBy>韦</cp:lastModifiedBy>
  <dcterms:modified xsi:type="dcterms:W3CDTF">2024-04-24T01:39:33Z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89E028F0BBC0482C8B724B2C9807A1AB_12</vt:lpwstr>
  </property>
</Properties>
</file>