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5B" w:rsidRDefault="00F0045B" w:rsidP="00F0045B">
      <w:pPr>
        <w:spacing w:line="360" w:lineRule="auto"/>
        <w:rPr>
          <w:rFonts w:ascii="黑体" w:eastAsia="黑体" w:hAnsi="黑体"/>
          <w:sz w:val="44"/>
          <w:szCs w:val="44"/>
        </w:rPr>
      </w:pPr>
      <w:r>
        <w:rPr>
          <w:rFonts w:ascii="黑体" w:eastAsia="黑体" w:hAnsi="黑体" w:hint="eastAsia"/>
          <w:bCs/>
          <w:sz w:val="32"/>
          <w:szCs w:val="32"/>
        </w:rPr>
        <w:t>附件1</w:t>
      </w:r>
    </w:p>
    <w:p w:rsidR="00F0045B" w:rsidRDefault="00F0045B" w:rsidP="00F0045B">
      <w:pPr>
        <w:spacing w:line="360" w:lineRule="auto"/>
        <w:jc w:val="center"/>
        <w:outlineLvl w:val="0"/>
        <w:rPr>
          <w:rFonts w:ascii="仿宋" w:eastAsia="仿宋" w:hAnsi="仿宋"/>
          <w:sz w:val="32"/>
          <w:szCs w:val="32"/>
        </w:rPr>
      </w:pPr>
      <w:r>
        <w:rPr>
          <w:rFonts w:ascii="方正小标宋简体" w:eastAsia="方正小标宋简体" w:hAnsi="方正小标宋简体" w:cs="方正小标宋简体" w:hint="eastAsia"/>
          <w:sz w:val="44"/>
          <w:szCs w:val="44"/>
        </w:rPr>
        <w:t>德州市高价值专利评选办法(试行)</w:t>
      </w:r>
    </w:p>
    <w:p w:rsidR="00F0045B" w:rsidRDefault="00F0045B" w:rsidP="00F0045B">
      <w:pPr>
        <w:spacing w:line="360" w:lineRule="auto"/>
        <w:ind w:firstLineChars="200" w:firstLine="640"/>
        <w:rPr>
          <w:rFonts w:ascii="仿宋" w:eastAsia="仿宋" w:hAnsi="仿宋"/>
          <w:sz w:val="32"/>
          <w:szCs w:val="32"/>
        </w:rPr>
      </w:pPr>
      <w:r>
        <w:rPr>
          <w:rFonts w:ascii="楷体_GB2312" w:eastAsia="楷体_GB2312" w:hAnsi="楷体_GB2312" w:cs="楷体_GB2312" w:hint="eastAsia"/>
          <w:bCs/>
          <w:sz w:val="32"/>
          <w:szCs w:val="32"/>
        </w:rPr>
        <w:t xml:space="preserve">第一条 </w:t>
      </w:r>
      <w:r>
        <w:rPr>
          <w:rFonts w:ascii="仿宋" w:eastAsia="仿宋" w:hAnsi="仿宋" w:hint="eastAsia"/>
          <w:sz w:val="32"/>
          <w:szCs w:val="32"/>
        </w:rPr>
        <w:t>为鼓励发明创造，激励自主创新，加快高价值专利培育，助推经济高质量发展，根据《山东省专利条例》和《德州市人民政府办公室关于落实“春笋行动”大力培育具有自主知识产权企业的通知》（德政办字〔2020〕30号）的规定，制定本办法。</w:t>
      </w:r>
    </w:p>
    <w:p w:rsidR="00F0045B" w:rsidRDefault="00F0045B" w:rsidP="00F0045B">
      <w:pPr>
        <w:spacing w:line="360" w:lineRule="auto"/>
        <w:ind w:firstLineChars="200" w:firstLine="640"/>
        <w:rPr>
          <w:rFonts w:ascii="仿宋" w:eastAsia="仿宋" w:hAnsi="仿宋"/>
          <w:sz w:val="32"/>
          <w:szCs w:val="32"/>
        </w:rPr>
      </w:pPr>
      <w:r>
        <w:rPr>
          <w:rFonts w:ascii="楷体_GB2312" w:eastAsia="楷体_GB2312" w:hAnsi="楷体_GB2312" w:cs="楷体_GB2312" w:hint="eastAsia"/>
          <w:bCs/>
          <w:sz w:val="32"/>
          <w:szCs w:val="32"/>
        </w:rPr>
        <w:t>第二条</w:t>
      </w:r>
      <w:r>
        <w:rPr>
          <w:rFonts w:ascii="仿宋" w:eastAsia="仿宋" w:hAnsi="仿宋" w:hint="eastAsia"/>
          <w:sz w:val="32"/>
          <w:szCs w:val="32"/>
        </w:rPr>
        <w:t xml:space="preserve"> 市高价值专利的推荐、评审和授奖，应当遵循公开、公平、公正的原则， 注重发明创造技术（设计）水平与社会效益和经济效益相结合。</w:t>
      </w:r>
    </w:p>
    <w:p w:rsidR="00F0045B" w:rsidRDefault="00F0045B" w:rsidP="00F0045B">
      <w:pPr>
        <w:spacing w:line="360" w:lineRule="auto"/>
        <w:ind w:firstLineChars="200" w:firstLine="640"/>
        <w:rPr>
          <w:rFonts w:ascii="仿宋" w:eastAsia="仿宋" w:hAnsi="仿宋"/>
          <w:sz w:val="32"/>
          <w:szCs w:val="32"/>
        </w:rPr>
      </w:pPr>
      <w:r>
        <w:rPr>
          <w:rFonts w:ascii="楷体_GB2312" w:eastAsia="楷体_GB2312" w:hAnsi="楷体_GB2312" w:cs="楷体_GB2312" w:hint="eastAsia"/>
          <w:bCs/>
          <w:sz w:val="32"/>
          <w:szCs w:val="32"/>
        </w:rPr>
        <w:t>第三条</w:t>
      </w:r>
      <w:r>
        <w:rPr>
          <w:rFonts w:ascii="仿宋" w:eastAsia="仿宋" w:hAnsi="仿宋" w:hint="eastAsia"/>
          <w:b/>
          <w:sz w:val="32"/>
          <w:szCs w:val="32"/>
        </w:rPr>
        <w:t xml:space="preserve"> </w:t>
      </w:r>
      <w:r>
        <w:rPr>
          <w:rFonts w:ascii="仿宋" w:eastAsia="仿宋" w:hAnsi="仿宋" w:hint="eastAsia"/>
          <w:sz w:val="32"/>
          <w:szCs w:val="32"/>
        </w:rPr>
        <w:t>市高价值专利每年评选一届，</w:t>
      </w:r>
      <w:proofErr w:type="gramStart"/>
      <w:r>
        <w:rPr>
          <w:rFonts w:ascii="仿宋" w:eastAsia="仿宋" w:hAnsi="仿宋" w:hint="eastAsia"/>
          <w:sz w:val="32"/>
          <w:szCs w:val="32"/>
        </w:rPr>
        <w:t>设重大</w:t>
      </w:r>
      <w:proofErr w:type="gramEnd"/>
      <w:r>
        <w:rPr>
          <w:rFonts w:ascii="仿宋" w:eastAsia="仿宋" w:hAnsi="仿宋" w:hint="eastAsia"/>
          <w:sz w:val="32"/>
          <w:szCs w:val="32"/>
        </w:rPr>
        <w:t>高价值专利和高价值专利。重大高价值专利每届评选不超过2项，高价值专利每届评选不超过20项。</w:t>
      </w:r>
    </w:p>
    <w:p w:rsidR="00F0045B" w:rsidRDefault="00F0045B" w:rsidP="00F0045B">
      <w:pPr>
        <w:spacing w:line="360" w:lineRule="auto"/>
        <w:ind w:firstLineChars="200" w:firstLine="640"/>
        <w:rPr>
          <w:rFonts w:ascii="仿宋" w:eastAsia="仿宋" w:hAnsi="仿宋"/>
          <w:sz w:val="32"/>
          <w:szCs w:val="32"/>
        </w:rPr>
      </w:pPr>
      <w:r>
        <w:rPr>
          <w:rFonts w:ascii="楷体_GB2312" w:eastAsia="楷体_GB2312" w:hAnsi="楷体_GB2312" w:cs="楷体_GB2312" w:hint="eastAsia"/>
          <w:bCs/>
          <w:sz w:val="32"/>
          <w:szCs w:val="32"/>
        </w:rPr>
        <w:t>第四条</w:t>
      </w:r>
      <w:r>
        <w:rPr>
          <w:rFonts w:ascii="仿宋" w:eastAsia="仿宋" w:hAnsi="仿宋" w:hint="eastAsia"/>
          <w:sz w:val="32"/>
          <w:szCs w:val="32"/>
        </w:rPr>
        <w:t xml:space="preserve"> 设立市高价值专利评审委员会（以下简称评审委员会），负责市高价值专利的评审工作。评审委员会下设专业评审组，由评审委员会聘请相关方面的专家组成。</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评审委员会办公室设在市市场监督管理局，负责市高价值专利评审的组织管理和评审委员会的日常工作。</w:t>
      </w:r>
    </w:p>
    <w:p w:rsidR="00F0045B" w:rsidRDefault="00F0045B" w:rsidP="00F0045B">
      <w:pPr>
        <w:spacing w:line="360" w:lineRule="auto"/>
        <w:ind w:firstLineChars="200" w:firstLine="640"/>
        <w:rPr>
          <w:rFonts w:ascii="仿宋" w:eastAsia="仿宋" w:hAnsi="仿宋"/>
          <w:sz w:val="32"/>
          <w:szCs w:val="32"/>
        </w:rPr>
      </w:pPr>
      <w:r>
        <w:rPr>
          <w:rFonts w:ascii="楷体_GB2312" w:eastAsia="楷体_GB2312" w:hAnsi="楷体_GB2312" w:cs="楷体_GB2312" w:hint="eastAsia"/>
          <w:bCs/>
          <w:sz w:val="32"/>
          <w:szCs w:val="32"/>
        </w:rPr>
        <w:t>第五条</w:t>
      </w:r>
      <w:r>
        <w:rPr>
          <w:rFonts w:ascii="仿宋" w:eastAsia="仿宋" w:hAnsi="仿宋" w:hint="eastAsia"/>
          <w:sz w:val="32"/>
          <w:szCs w:val="32"/>
        </w:rPr>
        <w:t xml:space="preserve">　评审标准</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（一）重大高价值专利评审标准</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1.重大高价值专利授予在该行业或领域具有核心发明专利，并形成系列专利，对整个行业或领域技术进步与创新</w:t>
      </w:r>
      <w:proofErr w:type="gramStart"/>
      <w:r>
        <w:rPr>
          <w:rFonts w:ascii="仿宋" w:eastAsia="仿宋" w:hAnsi="仿宋" w:hint="eastAsia"/>
          <w:sz w:val="32"/>
          <w:szCs w:val="32"/>
        </w:rPr>
        <w:lastRenderedPageBreak/>
        <w:t>作出</w:t>
      </w:r>
      <w:proofErr w:type="gramEnd"/>
      <w:r>
        <w:rPr>
          <w:rFonts w:ascii="仿宋" w:eastAsia="仿宋" w:hAnsi="仿宋" w:hint="eastAsia"/>
          <w:sz w:val="32"/>
          <w:szCs w:val="32"/>
        </w:rPr>
        <w:t>重大贡献的专利权人；</w:t>
      </w:r>
      <w:r>
        <w:rPr>
          <w:rFonts w:ascii="仿宋" w:eastAsia="仿宋" w:hAnsi="仿宋" w:hint="eastAsia"/>
          <w:sz w:val="32"/>
          <w:szCs w:val="32"/>
        </w:rPr>
        <w:br/>
        <w:t xml:space="preserve">　　2.</w:t>
      </w:r>
      <w:proofErr w:type="gramStart"/>
      <w:r>
        <w:rPr>
          <w:rFonts w:ascii="仿宋" w:eastAsia="仿宋" w:hAnsi="仿宋" w:hint="eastAsia"/>
          <w:sz w:val="32"/>
          <w:szCs w:val="32"/>
        </w:rPr>
        <w:t>该核心</w:t>
      </w:r>
      <w:proofErr w:type="gramEnd"/>
      <w:r>
        <w:rPr>
          <w:rFonts w:ascii="仿宋" w:eastAsia="仿宋" w:hAnsi="仿宋" w:hint="eastAsia"/>
          <w:sz w:val="32"/>
          <w:szCs w:val="32"/>
        </w:rPr>
        <w:t>发明专利具有重大经济效益和社会效益。</w:t>
      </w:r>
      <w:r>
        <w:rPr>
          <w:rFonts w:ascii="仿宋" w:eastAsia="仿宋" w:hAnsi="仿宋" w:hint="eastAsia"/>
          <w:sz w:val="32"/>
          <w:szCs w:val="32"/>
        </w:rPr>
        <w:br/>
        <w:t xml:space="preserve">　 （二）高价值专利评审标准</w:t>
      </w:r>
      <w:r>
        <w:rPr>
          <w:rFonts w:ascii="仿宋" w:eastAsia="仿宋" w:hAnsi="仿宋" w:hint="eastAsia"/>
          <w:sz w:val="32"/>
          <w:szCs w:val="32"/>
        </w:rPr>
        <w:br/>
        <w:t xml:space="preserve">　　1.该专利所提供的技术方案构思巧妙、新颖，原创性强，技术水平高，对促进本领域的技术进步与创新具有突出作用；</w:t>
      </w:r>
      <w:r>
        <w:rPr>
          <w:rFonts w:ascii="仿宋" w:eastAsia="仿宋" w:hAnsi="仿宋" w:hint="eastAsia"/>
          <w:sz w:val="32"/>
          <w:szCs w:val="32"/>
        </w:rPr>
        <w:br/>
        <w:t xml:space="preserve">　　2.该专利具有较好的经济效益和社会效益。</w:t>
      </w:r>
      <w:r>
        <w:rPr>
          <w:rFonts w:ascii="仿宋" w:eastAsia="仿宋" w:hAnsi="仿宋" w:hint="eastAsia"/>
          <w:sz w:val="32"/>
          <w:szCs w:val="32"/>
        </w:rPr>
        <w:br/>
        <w:t xml:space="preserve">　　3.该专利的专利权人、实施单位对于该项专利权的运用和保护采取了积极措施且成效显著。</w:t>
      </w:r>
    </w:p>
    <w:p w:rsidR="00F0045B" w:rsidRDefault="00F0045B" w:rsidP="00F0045B">
      <w:pPr>
        <w:spacing w:line="360" w:lineRule="auto"/>
        <w:ind w:firstLineChars="200" w:firstLine="640"/>
        <w:rPr>
          <w:rFonts w:ascii="仿宋" w:eastAsia="仿宋" w:hAnsi="仿宋"/>
          <w:sz w:val="32"/>
          <w:szCs w:val="32"/>
        </w:rPr>
      </w:pPr>
      <w:r>
        <w:rPr>
          <w:rFonts w:ascii="楷体_GB2312" w:eastAsia="楷体_GB2312" w:hAnsi="楷体_GB2312" w:cs="楷体_GB2312" w:hint="eastAsia"/>
          <w:bCs/>
          <w:sz w:val="32"/>
          <w:szCs w:val="32"/>
        </w:rPr>
        <w:t>第六条</w:t>
      </w:r>
      <w:r>
        <w:rPr>
          <w:rFonts w:ascii="仿宋" w:eastAsia="仿宋" w:hAnsi="仿宋" w:hint="eastAsia"/>
          <w:sz w:val="32"/>
          <w:szCs w:val="32"/>
        </w:rPr>
        <w:t xml:space="preserve"> 申报条件</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（一）参评高价值专利，应当具备以下基本条件：</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cs="仿宋" w:hint="eastAsia"/>
          <w:color w:val="000000"/>
          <w:sz w:val="32"/>
          <w:szCs w:val="32"/>
          <w:shd w:val="clear" w:color="auto" w:fill="FFFFFF"/>
        </w:rPr>
        <w:t>申报单位或者个人须是在德州市行政区域内注册或者常住的专利权人</w:t>
      </w:r>
      <w:r>
        <w:rPr>
          <w:rFonts w:ascii="仿宋" w:eastAsia="仿宋" w:hAnsi="仿宋" w:hint="eastAsia"/>
          <w:sz w:val="32"/>
          <w:szCs w:val="32"/>
        </w:rPr>
        <w:t>；</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2．申报专利为已获授权的有效国内专利，包括发明、实用新型和外观设计专利，不含国防专利、保密专利；</w:t>
      </w:r>
    </w:p>
    <w:p w:rsidR="00F0045B" w:rsidRDefault="00F0045B" w:rsidP="00F0045B">
      <w:pPr>
        <w:spacing w:line="360" w:lineRule="auto"/>
        <w:ind w:firstLineChars="200" w:firstLine="640"/>
        <w:rPr>
          <w:rFonts w:eastAsia="仿宋"/>
          <w:sz w:val="32"/>
          <w:szCs w:val="32"/>
        </w:rPr>
      </w:pPr>
      <w:r>
        <w:rPr>
          <w:rFonts w:ascii="仿宋" w:eastAsia="仿宋" w:hAnsi="仿宋" w:hint="eastAsia"/>
          <w:sz w:val="32"/>
          <w:szCs w:val="32"/>
        </w:rPr>
        <w:t>3．</w:t>
      </w:r>
      <w:r>
        <w:rPr>
          <w:rFonts w:ascii="仿宋" w:eastAsia="仿宋" w:hAnsi="仿宋" w:cs="仿宋" w:hint="eastAsia"/>
          <w:color w:val="000000"/>
          <w:sz w:val="32"/>
          <w:szCs w:val="32"/>
          <w:shd w:val="clear" w:color="auto" w:fill="FFFFFF"/>
        </w:rPr>
        <w:t>申报专利已经在德州市行政区域内实施，并取得显著的经济效益和社会效益。</w:t>
      </w:r>
      <w:r>
        <w:rPr>
          <w:rFonts w:eastAsia="仿宋" w:hint="eastAsia"/>
          <w:sz w:val="32"/>
          <w:szCs w:val="32"/>
        </w:rPr>
        <w:t>    </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（二）有下列情形之一的，不得参评高价值专利：</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1.存在专利权属纠纷、发明人或者设计人纠纷的；</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2.专利权无效宣告请求程序未终结的；</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3.已经获得过中国专利奖、山东省专利奖、德州市高价值专利的；</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4.法律、行政法规规定的其他不适合申报的情形。</w:t>
      </w:r>
    </w:p>
    <w:p w:rsidR="00F0045B" w:rsidRDefault="00F0045B" w:rsidP="00F0045B">
      <w:pPr>
        <w:spacing w:line="360" w:lineRule="auto"/>
        <w:ind w:firstLineChars="200" w:firstLine="640"/>
        <w:rPr>
          <w:rFonts w:ascii="仿宋" w:eastAsia="仿宋" w:hAnsi="仿宋"/>
          <w:sz w:val="32"/>
          <w:szCs w:val="32"/>
        </w:rPr>
      </w:pPr>
      <w:r>
        <w:rPr>
          <w:rFonts w:ascii="楷体_GB2312" w:eastAsia="楷体_GB2312" w:hAnsi="楷体_GB2312" w:cs="楷体_GB2312" w:hint="eastAsia"/>
          <w:bCs/>
          <w:sz w:val="32"/>
          <w:szCs w:val="32"/>
        </w:rPr>
        <w:lastRenderedPageBreak/>
        <w:t>第七条</w:t>
      </w:r>
      <w:r>
        <w:rPr>
          <w:rFonts w:ascii="仿宋" w:eastAsia="仿宋" w:hAnsi="仿宋" w:hint="eastAsia"/>
          <w:sz w:val="32"/>
          <w:szCs w:val="32"/>
        </w:rPr>
        <w:t xml:space="preserve"> 申报市高价值专利应当提报以下材料：</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（一）《德州市高价值专利申报书》；</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（二）申报单位的法人证明或者申报人的身份证明材料；</w:t>
      </w:r>
    </w:p>
    <w:p w:rsidR="00F0045B" w:rsidRDefault="00F0045B" w:rsidP="00F0045B">
      <w:pPr>
        <w:spacing w:line="360" w:lineRule="auto"/>
        <w:ind w:firstLineChars="200" w:firstLine="640"/>
        <w:rPr>
          <w:rFonts w:ascii="Helvetica" w:eastAsia="Helvetica" w:hAnsi="Helvetica" w:cs="Helvetica"/>
          <w:color w:val="555555"/>
          <w:sz w:val="24"/>
        </w:rPr>
      </w:pPr>
      <w:r>
        <w:rPr>
          <w:rFonts w:ascii="仿宋" w:eastAsia="仿宋" w:hAnsi="仿宋" w:hint="eastAsia"/>
          <w:sz w:val="32"/>
          <w:szCs w:val="32"/>
        </w:rPr>
        <w:t>（三）</w:t>
      </w:r>
      <w:r>
        <w:rPr>
          <w:rFonts w:ascii="仿宋" w:eastAsia="仿宋" w:hAnsi="仿宋"/>
          <w:sz w:val="32"/>
          <w:szCs w:val="32"/>
        </w:rPr>
        <w:t>专利权属证明，包括专利证书和专利登记簿副本；</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（四）专利实施所产生的社会效益和经济效益材料，提供的材料必须真实可靠。</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（五）有助于评价专利的其他证明材料。</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申报专利为实用新型、外观设计的，还须提交专利权评价报告。</w:t>
      </w:r>
    </w:p>
    <w:p w:rsidR="00F0045B" w:rsidRDefault="00F0045B" w:rsidP="00F0045B">
      <w:pPr>
        <w:spacing w:line="360" w:lineRule="auto"/>
        <w:ind w:firstLineChars="200" w:firstLine="640"/>
        <w:rPr>
          <w:rFonts w:ascii="仿宋" w:eastAsia="仿宋" w:hAnsi="仿宋"/>
          <w:sz w:val="32"/>
          <w:szCs w:val="32"/>
        </w:rPr>
      </w:pPr>
      <w:r>
        <w:rPr>
          <w:rFonts w:ascii="楷体_GB2312" w:eastAsia="楷体_GB2312" w:hAnsi="楷体_GB2312" w:cs="楷体_GB2312" w:hint="eastAsia"/>
          <w:bCs/>
          <w:sz w:val="32"/>
          <w:szCs w:val="32"/>
        </w:rPr>
        <w:t>第八条</w:t>
      </w:r>
      <w:r>
        <w:rPr>
          <w:rFonts w:ascii="仿宋" w:eastAsia="仿宋" w:hAnsi="仿宋" w:hint="eastAsia"/>
          <w:b/>
          <w:bCs/>
          <w:sz w:val="32"/>
          <w:szCs w:val="32"/>
        </w:rPr>
        <w:t xml:space="preserve"> </w:t>
      </w:r>
      <w:r>
        <w:rPr>
          <w:rFonts w:ascii="仿宋" w:eastAsia="仿宋" w:hAnsi="仿宋" w:hint="eastAsia"/>
          <w:sz w:val="32"/>
          <w:szCs w:val="32"/>
        </w:rPr>
        <w:t>申报高价值专利的单位或者个人向所在县（市、区）专利管理部门申报，县（市、区）专利管理部门对申报材料进行初审并出具推荐意见，报评审委员会办公室。</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国家知识产权优势企业和示范企业可直接向评审委员会办公室申报。   </w:t>
      </w:r>
    </w:p>
    <w:p w:rsidR="00F0045B" w:rsidRDefault="00F0045B" w:rsidP="00F0045B">
      <w:pPr>
        <w:spacing w:line="360" w:lineRule="auto"/>
        <w:ind w:firstLineChars="200" w:firstLine="640"/>
        <w:rPr>
          <w:rFonts w:ascii="仿宋" w:eastAsia="仿宋" w:hAnsi="仿宋"/>
          <w:sz w:val="32"/>
          <w:szCs w:val="32"/>
        </w:rPr>
      </w:pPr>
      <w:r>
        <w:rPr>
          <w:rFonts w:ascii="楷体_GB2312" w:eastAsia="楷体_GB2312" w:hAnsi="楷体_GB2312" w:cs="楷体_GB2312" w:hint="eastAsia"/>
          <w:bCs/>
          <w:sz w:val="32"/>
          <w:szCs w:val="32"/>
        </w:rPr>
        <w:t>第九条</w:t>
      </w:r>
      <w:r>
        <w:rPr>
          <w:rFonts w:ascii="仿宋" w:eastAsia="仿宋" w:hAnsi="仿宋" w:hint="eastAsia"/>
          <w:sz w:val="32"/>
          <w:szCs w:val="32"/>
        </w:rPr>
        <w:t xml:space="preserve"> 评审程序</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（一）评审委员会办公室进行形式审查。</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（二）评审委员会办公室按照高价值专利类别分送专业评审组。各专业评审组分别进行初评，提出初审意见。</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（三）评审委员会办公室根据初审意见组织重大高价值专利候选项目进行答辩。</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（四）评审委员会进行综合评审，确定拟奖励名单。</w:t>
      </w:r>
    </w:p>
    <w:p w:rsidR="00F0045B" w:rsidRDefault="00F0045B" w:rsidP="00F0045B">
      <w:pPr>
        <w:spacing w:line="360" w:lineRule="auto"/>
        <w:ind w:firstLineChars="200" w:firstLine="640"/>
        <w:rPr>
          <w:rFonts w:ascii="仿宋" w:eastAsia="仿宋" w:hAnsi="仿宋"/>
          <w:sz w:val="32"/>
          <w:szCs w:val="32"/>
        </w:rPr>
      </w:pPr>
      <w:r>
        <w:rPr>
          <w:rFonts w:ascii="楷体_GB2312" w:eastAsia="楷体_GB2312" w:hAnsi="楷体_GB2312" w:cs="楷体_GB2312" w:hint="eastAsia"/>
          <w:bCs/>
          <w:sz w:val="32"/>
          <w:szCs w:val="32"/>
        </w:rPr>
        <w:t>第十条</w:t>
      </w:r>
      <w:r>
        <w:rPr>
          <w:rFonts w:ascii="仿宋" w:eastAsia="仿宋" w:hAnsi="仿宋" w:hint="eastAsia"/>
          <w:sz w:val="32"/>
          <w:szCs w:val="32"/>
        </w:rPr>
        <w:t xml:space="preserve"> 公示</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（一）评审委员会</w:t>
      </w:r>
      <w:proofErr w:type="gramStart"/>
      <w:r>
        <w:rPr>
          <w:rFonts w:ascii="仿宋" w:eastAsia="仿宋" w:hAnsi="仿宋" w:hint="eastAsia"/>
          <w:sz w:val="32"/>
          <w:szCs w:val="32"/>
        </w:rPr>
        <w:t>对拟获高价值</w:t>
      </w:r>
      <w:proofErr w:type="gramEnd"/>
      <w:r>
        <w:rPr>
          <w:rFonts w:ascii="仿宋" w:eastAsia="仿宋" w:hAnsi="仿宋" w:hint="eastAsia"/>
          <w:sz w:val="32"/>
          <w:szCs w:val="32"/>
        </w:rPr>
        <w:t>专利名单进行公示，公示期为7天。</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（二） 公示期满后，评审委员会确定奖励意见，并向社会公布。</w:t>
      </w:r>
    </w:p>
    <w:p w:rsidR="00F0045B" w:rsidRDefault="00F0045B" w:rsidP="00F0045B">
      <w:pPr>
        <w:spacing w:line="360" w:lineRule="auto"/>
        <w:ind w:firstLineChars="200" w:firstLine="640"/>
        <w:rPr>
          <w:rFonts w:ascii="仿宋" w:eastAsia="仿宋" w:hAnsi="仿宋"/>
          <w:sz w:val="32"/>
          <w:szCs w:val="32"/>
        </w:rPr>
      </w:pPr>
      <w:r>
        <w:rPr>
          <w:rFonts w:ascii="楷体_GB2312" w:eastAsia="楷体_GB2312" w:hAnsi="楷体_GB2312" w:cs="楷体_GB2312" w:hint="eastAsia"/>
          <w:bCs/>
          <w:sz w:val="32"/>
          <w:szCs w:val="32"/>
        </w:rPr>
        <w:t>第十一条</w:t>
      </w:r>
      <w:r>
        <w:rPr>
          <w:rFonts w:ascii="仿宋" w:eastAsia="仿宋" w:hAnsi="仿宋" w:hint="eastAsia"/>
          <w:sz w:val="32"/>
          <w:szCs w:val="32"/>
        </w:rPr>
        <w:t xml:space="preserve"> 对获奖项目颁发证书和奖金，重大高价值专利每项给予10万元奖励、高价值专利每项给予5万元奖励。获得重大高价值专利、高价值专利的优先推荐参评山东省专利奖和中国专利奖。对获得中国专利金奖、银奖和优秀奖的，最高分别给予20万元、10万元和5万元奖励；获得山东省专利特别奖、一等奖的，最高分别给予10万元、5万元奖励。　　</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奖励经费由知识产权专项资金列支。</w:t>
      </w:r>
      <w:r>
        <w:rPr>
          <w:rFonts w:ascii="仿宋" w:eastAsia="仿宋" w:hAnsi="仿宋" w:hint="eastAsia"/>
          <w:sz w:val="32"/>
          <w:szCs w:val="32"/>
        </w:rPr>
        <w:br/>
        <w:t xml:space="preserve">　　</w:t>
      </w:r>
      <w:r>
        <w:rPr>
          <w:rFonts w:ascii="楷体_GB2312" w:eastAsia="楷体_GB2312" w:hAnsi="楷体_GB2312" w:cs="楷体_GB2312" w:hint="eastAsia"/>
          <w:bCs/>
          <w:sz w:val="32"/>
          <w:szCs w:val="32"/>
        </w:rPr>
        <w:t>第十二条</w:t>
      </w:r>
      <w:r>
        <w:rPr>
          <w:rFonts w:ascii="仿宋" w:eastAsia="仿宋" w:hAnsi="仿宋" w:hint="eastAsia"/>
          <w:sz w:val="32"/>
          <w:szCs w:val="32"/>
        </w:rPr>
        <w:t xml:space="preserve"> 获得市高价值专利的单位应当对该专利项目的发明人或者设计人进行奖励。</w:t>
      </w:r>
    </w:p>
    <w:p w:rsidR="00F0045B" w:rsidRDefault="00F0045B" w:rsidP="00F0045B">
      <w:pPr>
        <w:spacing w:line="360" w:lineRule="auto"/>
        <w:ind w:firstLineChars="200" w:firstLine="640"/>
        <w:rPr>
          <w:rFonts w:ascii="仿宋" w:eastAsia="仿宋" w:hAnsi="仿宋"/>
          <w:sz w:val="32"/>
          <w:szCs w:val="32"/>
        </w:rPr>
      </w:pPr>
      <w:r>
        <w:rPr>
          <w:rFonts w:ascii="仿宋" w:eastAsia="仿宋" w:hAnsi="仿宋" w:hint="eastAsia"/>
          <w:sz w:val="32"/>
          <w:szCs w:val="32"/>
        </w:rPr>
        <w:t>获得市高价值专利的主要发明人，符合破格申报条件的，可以破格申报相关专业技术职务资格。</w:t>
      </w:r>
    </w:p>
    <w:p w:rsidR="00F0045B" w:rsidRDefault="00F0045B" w:rsidP="00F0045B">
      <w:pPr>
        <w:spacing w:line="360" w:lineRule="auto"/>
        <w:ind w:firstLineChars="200" w:firstLine="640"/>
        <w:rPr>
          <w:rFonts w:ascii="仿宋" w:eastAsia="仿宋" w:hAnsi="仿宋"/>
          <w:sz w:val="32"/>
          <w:szCs w:val="32"/>
        </w:rPr>
      </w:pPr>
      <w:r>
        <w:rPr>
          <w:rFonts w:ascii="楷体_GB2312" w:eastAsia="楷体_GB2312" w:hAnsi="楷体_GB2312" w:cs="楷体_GB2312" w:hint="eastAsia"/>
          <w:bCs/>
          <w:sz w:val="32"/>
          <w:szCs w:val="32"/>
        </w:rPr>
        <w:t>第十三条</w:t>
      </w:r>
      <w:r>
        <w:rPr>
          <w:rFonts w:ascii="仿宋" w:eastAsia="仿宋" w:hAnsi="仿宋" w:hint="eastAsia"/>
          <w:b/>
          <w:sz w:val="32"/>
          <w:szCs w:val="32"/>
        </w:rPr>
        <w:t xml:space="preserve"> </w:t>
      </w:r>
      <w:r>
        <w:rPr>
          <w:rFonts w:ascii="仿宋" w:eastAsia="仿宋" w:hAnsi="仿宋" w:hint="eastAsia"/>
          <w:bCs/>
          <w:sz w:val="32"/>
          <w:szCs w:val="32"/>
        </w:rPr>
        <w:t>申报单位或者个人以不正当手段</w:t>
      </w:r>
      <w:proofErr w:type="gramStart"/>
      <w:r>
        <w:rPr>
          <w:rFonts w:ascii="仿宋" w:eastAsia="仿宋" w:hAnsi="仿宋" w:hint="eastAsia"/>
          <w:bCs/>
          <w:sz w:val="32"/>
          <w:szCs w:val="32"/>
        </w:rPr>
        <w:t>骗取市</w:t>
      </w:r>
      <w:proofErr w:type="gramEnd"/>
      <w:r>
        <w:rPr>
          <w:rFonts w:ascii="仿宋" w:eastAsia="仿宋" w:hAnsi="仿宋" w:hint="eastAsia"/>
          <w:bCs/>
          <w:sz w:val="32"/>
          <w:szCs w:val="32"/>
        </w:rPr>
        <w:t>高价值专利的，</w:t>
      </w:r>
      <w:r>
        <w:rPr>
          <w:rFonts w:ascii="仿宋" w:eastAsia="仿宋" w:hAnsi="仿宋" w:hint="eastAsia"/>
          <w:sz w:val="32"/>
          <w:szCs w:val="32"/>
        </w:rPr>
        <w:t>由评审委员会撤销其奖励，</w:t>
      </w:r>
      <w:proofErr w:type="gramStart"/>
      <w:r>
        <w:rPr>
          <w:rFonts w:ascii="仿宋" w:eastAsia="仿宋" w:hAnsi="仿宋" w:hint="eastAsia"/>
          <w:sz w:val="32"/>
          <w:szCs w:val="32"/>
        </w:rPr>
        <w:t>追回荣誉</w:t>
      </w:r>
      <w:proofErr w:type="gramEnd"/>
      <w:r>
        <w:rPr>
          <w:rFonts w:ascii="仿宋" w:eastAsia="仿宋" w:hAnsi="仿宋" w:hint="eastAsia"/>
          <w:sz w:val="32"/>
          <w:szCs w:val="32"/>
        </w:rPr>
        <w:t>证书和奖金，并取消其下两届市高价值专利申报资格。推荐单位协助他人</w:t>
      </w:r>
      <w:proofErr w:type="gramStart"/>
      <w:r>
        <w:rPr>
          <w:rFonts w:ascii="仿宋" w:eastAsia="仿宋" w:hAnsi="仿宋" w:hint="eastAsia"/>
          <w:sz w:val="32"/>
          <w:szCs w:val="32"/>
        </w:rPr>
        <w:t>骗取市</w:t>
      </w:r>
      <w:proofErr w:type="gramEnd"/>
      <w:r>
        <w:rPr>
          <w:rFonts w:ascii="仿宋" w:eastAsia="仿宋" w:hAnsi="仿宋" w:hint="eastAsia"/>
          <w:sz w:val="32"/>
          <w:szCs w:val="32"/>
        </w:rPr>
        <w:t>高价值专利奖励的，视情节轻重，由评审委员会办公室给予通报批评、暂停或者取消推荐资格；评审委员会及办公室工作人员在评审活动中弄虚作假、徇私舞弊的，依据情节轻重给予处分。</w:t>
      </w:r>
    </w:p>
    <w:p w:rsidR="00911493" w:rsidRDefault="00F0045B" w:rsidP="00F0045B">
      <w:r>
        <w:rPr>
          <w:rFonts w:ascii="楷体_GB2312" w:eastAsia="楷体_GB2312" w:hAnsi="楷体_GB2312" w:cs="楷体_GB2312" w:hint="eastAsia"/>
          <w:bCs/>
          <w:sz w:val="32"/>
          <w:szCs w:val="32"/>
        </w:rPr>
        <w:lastRenderedPageBreak/>
        <w:t>第十四条</w:t>
      </w:r>
      <w:r>
        <w:rPr>
          <w:rFonts w:ascii="仿宋" w:eastAsia="仿宋" w:hAnsi="仿宋" w:hint="eastAsia"/>
          <w:b/>
          <w:bCs/>
          <w:sz w:val="32"/>
          <w:szCs w:val="32"/>
        </w:rPr>
        <w:t>  </w:t>
      </w:r>
      <w:r>
        <w:rPr>
          <w:rFonts w:ascii="仿宋" w:eastAsia="仿宋" w:hAnsi="仿宋" w:hint="eastAsia"/>
          <w:sz w:val="32"/>
          <w:szCs w:val="32"/>
        </w:rPr>
        <w:t>本办法由德州市市场监督管理局负责解释。</w:t>
      </w:r>
      <w:r>
        <w:rPr>
          <w:rFonts w:ascii="仿宋" w:eastAsia="仿宋" w:hAnsi="仿宋" w:hint="eastAsia"/>
          <w:sz w:val="32"/>
          <w:szCs w:val="32"/>
        </w:rPr>
        <w:br/>
        <w:t xml:space="preserve">　　</w:t>
      </w:r>
      <w:r>
        <w:rPr>
          <w:rFonts w:ascii="楷体_GB2312" w:eastAsia="楷体_GB2312" w:hAnsi="楷体_GB2312" w:cs="楷体_GB2312" w:hint="eastAsia"/>
          <w:bCs/>
          <w:sz w:val="32"/>
          <w:szCs w:val="32"/>
        </w:rPr>
        <w:t>第十五条</w:t>
      </w:r>
      <w:r>
        <w:rPr>
          <w:rFonts w:ascii="仿宋" w:eastAsia="仿宋" w:hAnsi="仿宋" w:hint="eastAsia"/>
          <w:sz w:val="32"/>
          <w:szCs w:val="32"/>
        </w:rPr>
        <w:t xml:space="preserve"> 本办法自印发之日起试行，有效期2年。</w:t>
      </w:r>
      <w:bookmarkStart w:id="0" w:name="_GoBack"/>
      <w:bookmarkEnd w:id="0"/>
    </w:p>
    <w:sectPr w:rsidR="009114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8C" w:rsidRDefault="00754F8C" w:rsidP="00F0045B">
      <w:r>
        <w:separator/>
      </w:r>
    </w:p>
  </w:endnote>
  <w:endnote w:type="continuationSeparator" w:id="0">
    <w:p w:rsidR="00754F8C" w:rsidRDefault="00754F8C" w:rsidP="00F0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8C" w:rsidRDefault="00754F8C" w:rsidP="00F0045B">
      <w:r>
        <w:separator/>
      </w:r>
    </w:p>
  </w:footnote>
  <w:footnote w:type="continuationSeparator" w:id="0">
    <w:p w:rsidR="00754F8C" w:rsidRDefault="00754F8C" w:rsidP="00F00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0F"/>
    <w:rsid w:val="0064410F"/>
    <w:rsid w:val="00754F8C"/>
    <w:rsid w:val="00911493"/>
    <w:rsid w:val="00F00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5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04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045B"/>
    <w:rPr>
      <w:sz w:val="18"/>
      <w:szCs w:val="18"/>
    </w:rPr>
  </w:style>
  <w:style w:type="paragraph" w:styleId="a4">
    <w:name w:val="footer"/>
    <w:basedOn w:val="a"/>
    <w:link w:val="Char0"/>
    <w:uiPriority w:val="99"/>
    <w:unhideWhenUsed/>
    <w:rsid w:val="00F004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04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5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04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045B"/>
    <w:rPr>
      <w:sz w:val="18"/>
      <w:szCs w:val="18"/>
    </w:rPr>
  </w:style>
  <w:style w:type="paragraph" w:styleId="a4">
    <w:name w:val="footer"/>
    <w:basedOn w:val="a"/>
    <w:link w:val="Char0"/>
    <w:uiPriority w:val="99"/>
    <w:unhideWhenUsed/>
    <w:rsid w:val="00F004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04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281</Words>
  <Characters>1608</Characters>
  <Application>Microsoft Office Word</Application>
  <DocSecurity>0</DocSecurity>
  <Lines>13</Lines>
  <Paragraphs>3</Paragraphs>
  <ScaleCrop>false</ScaleCrop>
  <Company>中国微软</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2021-07-28T07:38:00Z</dcterms:created>
  <dcterms:modified xsi:type="dcterms:W3CDTF">2021-07-28T07:38:00Z</dcterms:modified>
</cp:coreProperties>
</file>